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5502B2C9" w:rsidR="00CD44F4" w:rsidRDefault="00F16BF1" w:rsidP="000060F9">
      <w:pPr>
        <w:jc w:val="both"/>
        <w:rPr>
          <w:szCs w:val="24"/>
          <w:lang w:val="en-GB"/>
        </w:rPr>
      </w:pPr>
      <w:r w:rsidRPr="00C3152B">
        <w:rPr>
          <w:szCs w:val="24"/>
          <w:highlight w:val="cyan"/>
          <w:lang w:val="en-GB"/>
        </w:rPr>
        <w:t>[</w:t>
      </w:r>
      <w:proofErr w:type="gramStart"/>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proofErr w:type="gramEnd"/>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proofErr w:type="gramStart"/>
      <w:r w:rsidR="00374255" w:rsidRPr="009471DB">
        <w:rPr>
          <w:highlight w:val="yellow"/>
          <w:lang w:val="en-GB"/>
        </w:rPr>
        <w:t>..</w:t>
      </w:r>
      <w:proofErr w:type="gramEnd"/>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58A659FF" w14:textId="77777777" w:rsidR="00592909" w:rsidRDefault="00592909" w:rsidP="0094291B">
      <w:pPr>
        <w:tabs>
          <w:tab w:val="left" w:pos="2552"/>
        </w:tabs>
        <w:rPr>
          <w:lang w:val="en-GB"/>
        </w:rPr>
      </w:pPr>
    </w:p>
    <w:p w14:paraId="64820ACF" w14:textId="3B30C29A"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w:t>
      </w:r>
      <w:proofErr w:type="gramStart"/>
      <w:r w:rsidR="0077474C">
        <w:rPr>
          <w:highlight w:val="cyan"/>
          <w:lang w:val="en-GB"/>
        </w:rPr>
        <w:t>f</w:t>
      </w:r>
      <w:r>
        <w:rPr>
          <w:highlight w:val="cyan"/>
          <w:lang w:val="en-GB"/>
        </w:rPr>
        <w:t xml:space="preserve">or  </w:t>
      </w:r>
      <w:r w:rsidRPr="001A2F05">
        <w:rPr>
          <w:highlight w:val="cyan"/>
          <w:lang w:val="en-GB"/>
        </w:rPr>
        <w:t>participants</w:t>
      </w:r>
      <w:proofErr w:type="gramEnd"/>
      <w:r w:rsidRPr="001A2F05">
        <w:rPr>
          <w:highlight w:val="cyan"/>
          <w:lang w:val="en-GB"/>
        </w:rPr>
        <w:t xml:space="preserve">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4820B5F" w14:textId="77777777" w:rsidR="00314AAF" w:rsidRDefault="00314AAF"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4820B5F" w14:textId="77777777" w:rsidR="00314AAF" w:rsidRDefault="00314AAF"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proofErr w:type="gramStart"/>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w:t>
      </w:r>
      <w:proofErr w:type="gramEnd"/>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 xml:space="preserve">3 months or </w:t>
      </w:r>
      <w:proofErr w:type="gramStart"/>
      <w:r w:rsidRPr="00A52784">
        <w:rPr>
          <w:highlight w:val="yellow"/>
          <w:lang w:val="en-GB"/>
        </w:rPr>
        <w:t>1</w:t>
      </w:r>
      <w:proofErr w:type="gramEnd"/>
      <w:r w:rsidRPr="00A52784">
        <w:rPr>
          <w:highlight w:val="yellow"/>
          <w:lang w:val="en-GB"/>
        </w:rPr>
        <w:t xml:space="preserve">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w:t>
      </w:r>
      <w:proofErr w:type="spellStart"/>
      <w:r w:rsidR="005F35A8">
        <w:rPr>
          <w:highlight w:val="cyan"/>
          <w:lang w:val="en-GB"/>
        </w:rPr>
        <w:t>mobilities</w:t>
      </w:r>
      <w:proofErr w:type="spellEnd"/>
      <w:r w:rsidR="005F35A8">
        <w:rPr>
          <w:highlight w:val="cyan"/>
          <w:lang w:val="en-GB"/>
        </w:rPr>
        <w:t xml:space="preserve">: </w:t>
      </w:r>
      <w:proofErr w:type="spellStart"/>
      <w:r w:rsidR="005F35A8" w:rsidRPr="0038419A">
        <w:rPr>
          <w:rFonts w:cstheme="minorHAnsi"/>
          <w:highlight w:val="yellow"/>
          <w:lang w:val="en-GB"/>
        </w:rPr>
        <w:t>Mobilities</w:t>
      </w:r>
      <w:proofErr w:type="spellEnd"/>
      <w:r w:rsidR="005F35A8" w:rsidRPr="0038419A">
        <w:rPr>
          <w:rFonts w:cstheme="minorHAnsi"/>
          <w:highlight w:val="yellow"/>
          <w:lang w:val="en-GB"/>
        </w:rPr>
        <w:t xml:space="preserve"> combining studies and traineeships include a study programme coupled with training </w:t>
      </w:r>
      <w:proofErr w:type="gramStart"/>
      <w:r w:rsidR="005F35A8" w:rsidRPr="0038419A">
        <w:rPr>
          <w:rFonts w:cstheme="minorHAnsi"/>
          <w:highlight w:val="yellow"/>
          <w:lang w:val="en-GB"/>
        </w:rPr>
        <w:t>activities which</w:t>
      </w:r>
      <w:proofErr w:type="gramEnd"/>
      <w:r w:rsidR="005F35A8" w:rsidRPr="0038419A">
        <w:rPr>
          <w:rFonts w:cstheme="minorHAnsi"/>
          <w:highlight w:val="yellow"/>
          <w:lang w:val="en-GB"/>
        </w:rPr>
        <w:t xml:space="preserve">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w:t>
      </w:r>
      <w:proofErr w:type="spellStart"/>
      <w:r w:rsidR="00147FDE">
        <w:rPr>
          <w:rFonts w:cstheme="minorHAnsi"/>
          <w:highlight w:val="yellow"/>
          <w:lang w:val="en-GB"/>
        </w:rPr>
        <w:t>mobilities</w:t>
      </w:r>
      <w:proofErr w:type="spellEnd"/>
      <w:r w:rsidR="005F35A8" w:rsidRPr="0038419A">
        <w:rPr>
          <w:rFonts w:cstheme="minorHAnsi"/>
          <w:highlight w:val="yellow"/>
          <w:lang w:val="en-GB"/>
        </w:rPr>
        <w:t xml:space="preserve"> is </w:t>
      </w:r>
      <w:r w:rsidR="005F35A8" w:rsidRPr="005F35A8">
        <w:rPr>
          <w:highlight w:val="yellow"/>
          <w:lang w:val="en-GB"/>
        </w:rPr>
        <w:t xml:space="preserve">3 months or </w:t>
      </w:r>
      <w:proofErr w:type="gramStart"/>
      <w:r w:rsidR="005F35A8" w:rsidRPr="005F35A8">
        <w:rPr>
          <w:highlight w:val="yellow"/>
          <w:lang w:val="en-GB"/>
        </w:rPr>
        <w:t>1</w:t>
      </w:r>
      <w:proofErr w:type="gramEnd"/>
      <w:r w:rsidR="005F35A8" w:rsidRPr="005F35A8">
        <w:rPr>
          <w:highlight w:val="yellow"/>
          <w:lang w:val="en-GB"/>
        </w:rPr>
        <w:t xml:space="preserve">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xml:space="preserve">, which </w:t>
      </w:r>
      <w:proofErr w:type="gramStart"/>
      <w:r w:rsidR="00A70A26">
        <w:rPr>
          <w:lang w:val="en-GB"/>
        </w:rPr>
        <w:t>shall only be used</w:t>
      </w:r>
      <w:proofErr w:type="gramEnd"/>
      <w:r w:rsidR="00A70A26">
        <w:rPr>
          <w:lang w:val="en-GB"/>
        </w:rPr>
        <w:t xml:space="preserve">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 xml:space="preserve">days should be </w:t>
      </w:r>
      <w:proofErr w:type="gramStart"/>
      <w:r w:rsidR="009823AB" w:rsidRPr="00A52784">
        <w:rPr>
          <w:highlight w:val="yellow"/>
          <w:lang w:val="en-GB"/>
        </w:rPr>
        <w:t>0</w:t>
      </w:r>
      <w:proofErr w:type="gramEnd"/>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w:t>
      </w:r>
      <w:proofErr w:type="gramStart"/>
      <w:r w:rsidRPr="00A52784">
        <w:rPr>
          <w:highlight w:val="yellow"/>
          <w:lang w:val="en-GB"/>
        </w:rPr>
        <w:t>needed:</w:t>
      </w:r>
      <w:r w:rsidR="0066298A" w:rsidRPr="00A52784">
        <w:rPr>
          <w:highlight w:val="yellow"/>
          <w:lang w:val="en-GB"/>
        </w:rPr>
        <w:t xml:space="preserve"> </w:t>
      </w:r>
      <w:r w:rsidR="0066298A" w:rsidRPr="007E6B7C">
        <w:rPr>
          <w:highlight w:val="yellow"/>
          <w:lang w:val="en-GB"/>
        </w:rPr>
        <w:t>The</w:t>
      </w:r>
      <w:proofErr w:type="gramEnd"/>
      <w:r w:rsidR="0066298A" w:rsidRPr="007E6B7C">
        <w:rPr>
          <w:highlight w:val="yellow"/>
          <w:lang w:val="en-GB"/>
        </w:rPr>
        <w:t xml:space="preserv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proofErr w:type="gramStart"/>
      <w:r w:rsidRPr="00735E06">
        <w:rPr>
          <w:lang w:val="en-GB"/>
        </w:rPr>
        <w:t>2.</w:t>
      </w:r>
      <w:r w:rsidR="00065470">
        <w:rPr>
          <w:lang w:val="en-GB"/>
        </w:rPr>
        <w:t>6</w:t>
      </w:r>
      <w:proofErr w:type="gramEnd"/>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0F7F4EF"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commentRangeStart w:id="1"/>
      <w:r w:rsidR="00D67895" w:rsidRPr="00A4493D">
        <w:rPr>
          <w:highlight w:val="cyan"/>
          <w:lang w:val="en-GB"/>
        </w:rPr>
        <w:t xml:space="preserve">[If disadvantaged background top-ups are applicable in the </w:t>
      </w:r>
      <w:r w:rsidR="00D67895" w:rsidRPr="00D67895">
        <w:rPr>
          <w:highlight w:val="cyan"/>
          <w:lang w:val="en-GB"/>
        </w:rPr>
        <w:t>country</w:t>
      </w:r>
      <w:r w:rsidR="00D67895" w:rsidRPr="00A4493D">
        <w:rPr>
          <w:highlight w:val="cyan"/>
          <w:lang w:val="en-GB"/>
        </w:rPr>
        <w:t>, NA to complete with applicable rate]</w:t>
      </w:r>
      <w:r w:rsidR="00D67895" w:rsidRPr="00CD44F4">
        <w:rPr>
          <w:lang w:val="en-GB"/>
        </w:rPr>
        <w:t xml:space="preserv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D67895">
        <w:rPr>
          <w:highlight w:val="yellow"/>
          <w:lang w:val="en-GB"/>
        </w:rPr>
        <w:t>[100 or 200</w:t>
      </w:r>
      <w:r w:rsidR="00D67895" w:rsidRPr="00D67895">
        <w:rPr>
          <w:highlight w:val="yellow"/>
          <w:lang w:val="en-GB"/>
        </w:rPr>
        <w:t xml:space="preserve">] EUR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w:t>
      </w:r>
      <w:commentRangeEnd w:id="1"/>
      <w:r w:rsidR="00592909">
        <w:rPr>
          <w:rStyle w:val="CommentReference"/>
        </w:rPr>
        <w:commentReference w:id="1"/>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proofErr w:type="gramStart"/>
      <w:r w:rsidR="00D006C5" w:rsidRPr="00D006C5">
        <w:rPr>
          <w:lang w:val="en-GB"/>
        </w:rPr>
        <w:t>is calculated</w:t>
      </w:r>
      <w:proofErr w:type="gramEnd"/>
      <w:r w:rsidR="00D006C5" w:rsidRPr="00D006C5">
        <w:rPr>
          <w:lang w:val="en-GB"/>
        </w:rPr>
        <w:t xml:space="preserve">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C2D17">
        <w:rPr>
          <w:highlight w:val="yellow"/>
          <w:lang w:val="en-GB"/>
        </w:rPr>
        <w:t>The</w:t>
      </w:r>
      <w:proofErr w:type="gramEnd"/>
      <w:r w:rsidRPr="005C2D17">
        <w:rPr>
          <w:highlight w:val="yellow"/>
          <w:lang w:val="en-GB"/>
        </w:rPr>
        <w:t xml:space="preserv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392CCD5C"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FD2988">
        <w:rPr>
          <w:highlight w:val="cyan"/>
          <w:lang w:val="en-GB"/>
        </w:rPr>
        <w:t>I</w:t>
      </w:r>
      <w:r w:rsidR="00DB4EA8" w:rsidRPr="003774FA">
        <w:rPr>
          <w:highlight w:val="cyan"/>
          <w:lang w:val="en-GB"/>
        </w:rPr>
        <w:t xml:space="preserve">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xml:space="preserve">, the contribution for travel should be </w:t>
      </w:r>
      <w:proofErr w:type="gramStart"/>
      <w:r w:rsidRPr="00B12416">
        <w:rPr>
          <w:highlight w:val="cyan"/>
          <w:lang w:val="en-GB"/>
        </w:rPr>
        <w:t>0</w:t>
      </w:r>
      <w:proofErr w:type="gramEnd"/>
      <w:r w:rsidRPr="00B12416">
        <w:rPr>
          <w:highlight w:val="cyan"/>
          <w:lang w:val="en-GB"/>
        </w:rPr>
        <w:t>]</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34066D5C" w:rsidR="00567F0A" w:rsidRDefault="00F653E1" w:rsidP="00203C58">
      <w:pPr>
        <w:ind w:left="567" w:hanging="567"/>
        <w:jc w:val="both"/>
        <w:rPr>
          <w:lang w:val="en-GB"/>
        </w:rPr>
      </w:pPr>
      <w:r>
        <w:rPr>
          <w:lang w:val="en-GB"/>
        </w:rPr>
        <w:lastRenderedPageBreak/>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w:t>
      </w:r>
      <w:proofErr w:type="gramStart"/>
      <w:r w:rsidR="00494B14">
        <w:rPr>
          <w:lang w:val="en-GB"/>
        </w:rPr>
        <w:t>agreed</w:t>
      </w:r>
      <w:proofErr w:type="gramEnd"/>
      <w:r w:rsidR="00494B14">
        <w:rPr>
          <w:lang w:val="en-GB"/>
        </w:rPr>
        <w:t xml:space="preserve">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 xml:space="preserve">the amount of the grant corresponding to the actual duration of the mobility period. Any remaining funds shall have to </w:t>
      </w:r>
      <w:proofErr w:type="gramStart"/>
      <w:r w:rsidR="00770D22">
        <w:rPr>
          <w:lang w:val="en-GB"/>
        </w:rPr>
        <w:t>be refunded</w:t>
      </w:r>
      <w:proofErr w:type="gramEnd"/>
      <w:r w:rsidR="00770D22">
        <w:rPr>
          <w:lang w:val="en-GB"/>
        </w:rPr>
        <w:t>, except if agreed differently with the institution</w:t>
      </w:r>
      <w:r w:rsidR="00203C58">
        <w:rPr>
          <w:lang w:val="en-GB"/>
        </w:rPr>
        <w:t xml:space="preserve">. Such cases </w:t>
      </w:r>
      <w:proofErr w:type="gramStart"/>
      <w:r w:rsidR="00203C58">
        <w:rPr>
          <w:lang w:val="en-GB"/>
        </w:rPr>
        <w:t>shall be reported by the institution and accepted by the N</w:t>
      </w:r>
      <w:r w:rsidR="004245B4">
        <w:rPr>
          <w:lang w:val="en-GB"/>
        </w:rPr>
        <w:t xml:space="preserve">ational </w:t>
      </w:r>
      <w:r w:rsidR="00203C58">
        <w:rPr>
          <w:lang w:val="en-GB"/>
        </w:rPr>
        <w:t>A</w:t>
      </w:r>
      <w:r w:rsidR="004245B4">
        <w:rPr>
          <w:lang w:val="en-GB"/>
        </w:rPr>
        <w:t>gency</w:t>
      </w:r>
      <w:proofErr w:type="gramEnd"/>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17D5AFDE"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C848AE">
        <w:rPr>
          <w:highlight w:val="cyan"/>
          <w:lang w:val="en-GB"/>
        </w:rPr>
        <w:t>I</w:t>
      </w:r>
      <w:r w:rsidR="00B35A7B">
        <w:rPr>
          <w:highlight w:val="cyan"/>
          <w:lang w:val="en-GB"/>
        </w:rPr>
        <w:t>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w:t>
      </w:r>
      <w:proofErr w:type="gramStart"/>
      <w:r w:rsidR="00B35A7B">
        <w:rPr>
          <w:highlight w:val="cyan"/>
          <w:lang w:val="en-GB"/>
        </w:rPr>
        <w:t>do(</w:t>
      </w:r>
      <w:proofErr w:type="spellStart"/>
      <w:proofErr w:type="gramEnd"/>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proofErr w:type="gramStart"/>
      <w:r>
        <w:rPr>
          <w:lang w:val="en-GB"/>
        </w:rPr>
        <w:t>4.3</w:t>
      </w:r>
      <w:proofErr w:type="gramEnd"/>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68D2E9DF"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w:t>
      </w:r>
      <w:r w:rsidR="00C848AE">
        <w:rPr>
          <w:highlight w:val="cyan"/>
          <w:lang w:val="en-GB"/>
        </w:rPr>
        <w:t xml:space="preserv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 xml:space="preserve">add a clause to this agreement in order to ensure that students </w:t>
      </w:r>
      <w:proofErr w:type="gramStart"/>
      <w:r w:rsidRPr="009D73A7">
        <w:rPr>
          <w:highlight w:val="cyan"/>
          <w:lang w:val="en-GB"/>
        </w:rPr>
        <w:t>are clearly informed</w:t>
      </w:r>
      <w:proofErr w:type="gramEnd"/>
      <w:r w:rsidRPr="009D73A7">
        <w:rPr>
          <w:highlight w:val="cyan"/>
          <w:lang w:val="en-GB"/>
        </w:rPr>
        <w:t xml:space="preserve">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proofErr w:type="gramStart"/>
      <w:r w:rsidR="00001E6A" w:rsidRPr="009D73A7">
        <w:rPr>
          <w:highlight w:val="cyan"/>
          <w:lang w:val="en-GB"/>
        </w:rPr>
        <w:t>might be</w:t>
      </w:r>
      <w:r w:rsidR="003415BB" w:rsidRPr="009D73A7">
        <w:rPr>
          <w:highlight w:val="cyan"/>
          <w:lang w:val="en-GB"/>
        </w:rPr>
        <w:t xml:space="preserve"> provided</w:t>
      </w:r>
      <w:proofErr w:type="gramEnd"/>
      <w:r w:rsidR="003415BB" w:rsidRPr="009D73A7">
        <w:rPr>
          <w:highlight w:val="cyan"/>
          <w:lang w:val="en-GB"/>
        </w:rPr>
        <w:t xml:space="preserve">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proofErr w:type="gramStart"/>
      <w:r>
        <w:rPr>
          <w:lang w:val="en-GB"/>
        </w:rPr>
        <w:t>5.3</w:t>
      </w:r>
      <w:proofErr w:type="gramEnd"/>
      <w:r>
        <w:rPr>
          <w:lang w:val="en-GB"/>
        </w:rPr>
        <w:t xml:space="preserve">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w:t>
      </w:r>
      <w:proofErr w:type="gramStart"/>
      <w:r w:rsidRPr="00C201E1">
        <w:rPr>
          <w:i/>
          <w:lang w:val="en-GB"/>
        </w:rPr>
        <w:t>is</w:t>
      </w:r>
      <w:proofErr w:type="gramEnd"/>
      <w:r w:rsidRPr="00C201E1">
        <w:rPr>
          <w:i/>
          <w:lang w:val="en-GB"/>
        </w:rPr>
        <w:t xml:space="preserve"> covered by the host organisation or not. If not made compulsory by the national regulation of the </w:t>
      </w:r>
      <w:r>
        <w:rPr>
          <w:i/>
          <w:lang w:val="en-GB"/>
        </w:rPr>
        <w:t>receiving</w:t>
      </w:r>
      <w:r w:rsidRPr="00C201E1">
        <w:rPr>
          <w:i/>
          <w:lang w:val="en-GB"/>
        </w:rPr>
        <w:t xml:space="preserve"> country, this </w:t>
      </w:r>
      <w:proofErr w:type="gramStart"/>
      <w:r w:rsidRPr="00C201E1">
        <w:rPr>
          <w:i/>
          <w:lang w:val="en-GB"/>
        </w:rPr>
        <w:t>might not be imposed</w:t>
      </w:r>
      <w:proofErr w:type="gramEnd"/>
      <w:r w:rsidRPr="00C201E1">
        <w:rPr>
          <w:i/>
          <w:lang w:val="en-GB"/>
        </w:rPr>
        <w:t xml:space="preserve">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proofErr w:type="gramStart"/>
      <w:r w:rsidRPr="00C201E1">
        <w:rPr>
          <w:lang w:val="en-GB"/>
        </w:rPr>
        <w:t>5.</w:t>
      </w:r>
      <w:r>
        <w:rPr>
          <w:lang w:val="en-GB"/>
        </w:rPr>
        <w:t>4</w:t>
      </w:r>
      <w:proofErr w:type="gramEnd"/>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w:t>
      </w:r>
      <w:proofErr w:type="gramStart"/>
      <w:r w:rsidRPr="00C201E1">
        <w:rPr>
          <w:i/>
          <w:lang w:val="en-GB"/>
        </w:rPr>
        <w:t>countries</w:t>
      </w:r>
      <w:proofErr w:type="gramEnd"/>
      <w:r w:rsidRPr="00C201E1">
        <w:rPr>
          <w:i/>
          <w:lang w:val="en-GB"/>
        </w:rPr>
        <w:t xml:space="preserve">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w:t>
      </w:r>
      <w:proofErr w:type="gramStart"/>
      <w:r w:rsidRPr="00C201E1">
        <w:rPr>
          <w:i/>
          <w:lang w:val="en-GB"/>
        </w:rPr>
        <w:t>is</w:t>
      </w:r>
      <w:proofErr w:type="gramEnd"/>
      <w:r w:rsidRPr="00C201E1">
        <w:rPr>
          <w:i/>
          <w:lang w:val="en-GB"/>
        </w:rPr>
        <w:t xml:space="preserve"> covered by the host organisation or not. </w:t>
      </w:r>
      <w:proofErr w:type="gramStart"/>
      <w:r w:rsidRPr="00C201E1">
        <w:rPr>
          <w:i/>
          <w:lang w:val="en-GB"/>
        </w:rPr>
        <w:t xml:space="preserve">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w:t>
      </w:r>
      <w:proofErr w:type="gramEnd"/>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w:t>
      </w:r>
      <w:proofErr w:type="gramStart"/>
      <w:r w:rsidR="00B94564" w:rsidRPr="00A431C8">
        <w:rPr>
          <w:lang w:val="en-GB"/>
        </w:rPr>
        <w:t>to</w:t>
      </w:r>
      <w:r w:rsidR="00B94564" w:rsidRPr="00207890">
        <w:rPr>
          <w:lang w:val="en-GB"/>
        </w:rPr>
        <w:t xml:space="preserve"> partially or fully reimburse</w:t>
      </w:r>
      <w:proofErr w:type="gramEnd"/>
      <w:r w:rsidR="00B94564" w:rsidRPr="00207890">
        <w:rPr>
          <w:lang w:val="en-GB"/>
        </w:rPr>
        <w:t xml:space="preserv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proofErr w:type="gramStart"/>
      <w:r w:rsidR="001B6C1C">
        <w:rPr>
          <w:lang w:val="en-GB"/>
        </w:rPr>
        <w:t>will</w:t>
      </w:r>
      <w:r w:rsidR="001B6C1C" w:rsidRPr="00235040">
        <w:rPr>
          <w:lang w:val="en-GB"/>
        </w:rPr>
        <w:t xml:space="preserve"> </w:t>
      </w:r>
      <w:r w:rsidR="00F106E3" w:rsidRPr="00235040">
        <w:rPr>
          <w:lang w:val="en-GB"/>
        </w:rPr>
        <w:t>be sent</w:t>
      </w:r>
      <w:proofErr w:type="gramEnd"/>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247DAEF4" w:rsidR="00E870AD" w:rsidRDefault="004245B4" w:rsidP="00E870AD">
      <w:pPr>
        <w:tabs>
          <w:tab w:val="left" w:pos="567"/>
        </w:tabs>
        <w:ind w:left="567" w:hanging="567"/>
        <w:jc w:val="both"/>
        <w:rPr>
          <w:lang w:val="en-GB"/>
        </w:rPr>
      </w:pPr>
      <w:proofErr w:type="gramStart"/>
      <w:r>
        <w:rPr>
          <w:lang w:val="en-GB"/>
        </w:rPr>
        <w:lastRenderedPageBreak/>
        <w:t>7</w:t>
      </w:r>
      <w:r w:rsidR="00E870AD">
        <w:rPr>
          <w:lang w:val="en-GB"/>
        </w:rPr>
        <w:t>.1</w:t>
      </w:r>
      <w:r w:rsidR="00E870AD">
        <w:rPr>
          <w:lang w:val="en-GB"/>
        </w:rPr>
        <w:tab/>
        <w:t xml:space="preserve">The </w:t>
      </w:r>
      <w:r w:rsidR="00E870AD" w:rsidRPr="00223C36">
        <w:rPr>
          <w:lang w:val="en-GB"/>
        </w:rPr>
        <w:t xml:space="preserve">Agreement is </w:t>
      </w:r>
      <w:r w:rsidR="00E870AD" w:rsidRPr="00C848AE">
        <w:rPr>
          <w:lang w:val="en-GB"/>
        </w:rPr>
        <w:t xml:space="preserve">governed by the national law of the </w:t>
      </w:r>
      <w:r w:rsidR="00C848AE" w:rsidRPr="00C848AE">
        <w:rPr>
          <w:lang w:val="en-GB"/>
        </w:rPr>
        <w:t>Republic of Slovenia</w:t>
      </w:r>
      <w:proofErr w:type="gramEnd"/>
      <w:r w:rsidR="00E870AD" w:rsidRPr="00C848AE">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1AC5EC3E"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C848AE" w:rsidRPr="001435DA">
        <w:rPr>
          <w:sz w:val="18"/>
          <w:szCs w:val="18"/>
          <w:lang w:val="en-GB"/>
        </w:rPr>
        <w:t>the Republic of Slovenia</w:t>
      </w:r>
      <w:r w:rsidRPr="001435DA">
        <w:rPr>
          <w:sz w:val="18"/>
          <w:szCs w:val="18"/>
          <w:lang w:val="en-GB"/>
        </w:rPr>
        <w:t xml:space="preserve">, the European Commission or their staff </w:t>
      </w:r>
      <w:proofErr w:type="gramStart"/>
      <w:r w:rsidRPr="001435DA">
        <w:rPr>
          <w:sz w:val="18"/>
          <w:szCs w:val="18"/>
          <w:lang w:val="en-GB"/>
        </w:rPr>
        <w:t>shall not be held</w:t>
      </w:r>
      <w:proofErr w:type="gramEnd"/>
      <w:r w:rsidRPr="001435DA">
        <w:rPr>
          <w:sz w:val="18"/>
          <w:szCs w:val="18"/>
          <w:lang w:val="en-GB"/>
        </w:rPr>
        <w:t xml:space="preserve"> liable in the event of a claim under the </w:t>
      </w:r>
      <w:r w:rsidR="007A4B08" w:rsidRPr="001435DA">
        <w:rPr>
          <w:sz w:val="18"/>
          <w:szCs w:val="18"/>
          <w:lang w:val="en-GB"/>
        </w:rPr>
        <w:t>agreement</w:t>
      </w:r>
      <w:r w:rsidRPr="001435DA">
        <w:rPr>
          <w:sz w:val="18"/>
          <w:szCs w:val="18"/>
          <w:lang w:val="en-GB"/>
        </w:rPr>
        <w:t xml:space="preserve"> relating to</w:t>
      </w:r>
      <w:r w:rsidRPr="00FE149C">
        <w:rPr>
          <w:sz w:val="18"/>
          <w:szCs w:val="18"/>
          <w:lang w:val="en-GB"/>
        </w:rPr>
        <w:t xml:space="preserve">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C848AE" w:rsidRPr="00C848AE">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w:t>
      </w:r>
      <w:proofErr w:type="gramStart"/>
      <w:r w:rsidR="00770D22">
        <w:rPr>
          <w:sz w:val="18"/>
          <w:szCs w:val="18"/>
          <w:lang w:val="en-GB"/>
        </w:rPr>
        <w:t>agreed</w:t>
      </w:r>
      <w:proofErr w:type="gramEnd"/>
      <w:r w:rsidR="00770D22">
        <w:rPr>
          <w:sz w:val="18"/>
          <w:szCs w:val="18"/>
          <w:lang w:val="en-GB"/>
        </w:rPr>
        <w:t xml:space="preserve">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51984A2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C848AE" w:rsidRPr="00C848AE">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C848AE" w:rsidRPr="00C848AE">
        <w:rPr>
          <w:sz w:val="18"/>
          <w:szCs w:val="18"/>
          <w:lang w:val="en-GB"/>
        </w:rPr>
        <w:t>the 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lavdija Draškovič" w:date="2020-03-20T16:55:00Z" w:initials="KD">
    <w:p w14:paraId="71B235BC" w14:textId="58A36DD5" w:rsidR="00592909" w:rsidRDefault="00592909">
      <w:pPr>
        <w:pStyle w:val="CommentText"/>
      </w:pPr>
      <w:r>
        <w:rPr>
          <w:rStyle w:val="CommentReference"/>
        </w:rPr>
        <w:annotationRef/>
      </w:r>
      <w:proofErr w:type="spellStart"/>
      <w:r>
        <w:t>Cvprašaj</w:t>
      </w:r>
      <w:proofErr w:type="spellEnd"/>
      <w:r>
        <w:t xml:space="preserve"> </w:t>
      </w:r>
      <w:proofErr w:type="spellStart"/>
      <w:r>
        <w:t>Božidarja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235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3AA50BEA"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600F8A">
      <w:rPr>
        <w:rStyle w:val="PageNumber"/>
        <w:noProof/>
        <w:szCs w:val="24"/>
      </w:rPr>
      <w:t>5</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008369E5"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600F8A">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sl-SI" w:eastAsia="sl-SI"/>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vdija Draškovič">
    <w15:presenceInfo w15:providerId="AD" w15:userId="S-1-5-21-4242073792-3843822530-2500017083-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40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35DA"/>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12A"/>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2909"/>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0F8A"/>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5E1"/>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48AE"/>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2988"/>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 w:type="paragraph" w:styleId="ListParagraph">
    <w:name w:val="List Paragraph"/>
    <w:basedOn w:val="Norma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2.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3.xml><?xml version="1.0" encoding="utf-8"?>
<ds:datastoreItem xmlns:ds="http://schemas.openxmlformats.org/officeDocument/2006/customXml" ds:itemID="{12CE1E46-31CA-49D6-89F9-53950FFC154F}">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1F7218E-25FC-4496-8B9F-2B4BE08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C2805-845F-429E-95EF-565A448E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2580</Words>
  <Characters>14227</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2018-04-23T11:35:00Z</cp:lastPrinted>
  <dcterms:created xsi:type="dcterms:W3CDTF">2020-03-20T16:55:00Z</dcterms:created>
  <dcterms:modified xsi:type="dcterms:W3CDTF">2020-03-20T16:55:00Z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