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C4D2" w14:textId="77777777" w:rsidR="00331197" w:rsidRDefault="00331197" w:rsidP="0039356D">
      <w:pPr>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dotaciji za študij in/ali prakso Erasmus+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koda Erasmus</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77777777"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[M/Ž]</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8A0ADF1"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ničelno dotacijo</w:t>
      </w:r>
      <w:r w:rsidR="00273C4D">
        <w:rPr>
          <w:lang w:val="sl-SI"/>
        </w:rPr>
        <w:t xml:space="preserve"> (zero grant)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6889B373"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 xml:space="preserve">finančno podporo iz evropskih sredstev Erasmus+ v kombinaciji z ničelno </w:t>
      </w:r>
      <w:r w:rsidR="001A2A3E">
        <w:rPr>
          <w:lang w:val="sl-SI"/>
        </w:rPr>
        <w:t xml:space="preserve">         </w:t>
      </w:r>
      <w:r w:rsidRPr="00DF7487">
        <w:rPr>
          <w:lang w:val="sl-SI"/>
        </w:rPr>
        <w:t>dotacijo</w:t>
      </w:r>
      <w:r w:rsidRPr="00DF7487">
        <w:rPr>
          <w:rStyle w:val="tw4winMark"/>
          <w:lang w:val="sl-SI"/>
        </w:rPr>
        <w:t>&lt;0}</w:t>
      </w:r>
    </w:p>
    <w:p w14:paraId="61148EF1" w14:textId="77777777"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77777777"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ničelno dotacijo</w:t>
      </w:r>
      <w:r>
        <w:rPr>
          <w:highlight w:val="cyan"/>
          <w:lang w:val="sl-SI"/>
        </w:rPr>
        <w:t xml:space="preserve"> (zero grant)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Erasmus+ mobilnost za študij/ </w:t>
      </w:r>
      <w:r>
        <w:rPr>
          <w:sz w:val="24"/>
          <w:szCs w:val="24"/>
          <w:highlight w:val="yellow"/>
          <w:lang w:val="sl-SI"/>
        </w:rPr>
        <w:t>S</w:t>
      </w:r>
      <w:r w:rsidRPr="00DF7487">
        <w:rPr>
          <w:sz w:val="24"/>
          <w:szCs w:val="24"/>
          <w:highlight w:val="yellow"/>
          <w:lang w:val="sl-SI"/>
        </w:rPr>
        <w:t xml:space="preserve">porazum za Erasmus+ mobilnost za prakso/ </w:t>
      </w:r>
      <w:r>
        <w:rPr>
          <w:sz w:val="24"/>
          <w:szCs w:val="24"/>
          <w:highlight w:val="yellow"/>
          <w:lang w:val="sl-SI"/>
        </w:rPr>
        <w:t>S</w:t>
      </w:r>
      <w:r w:rsidRPr="00DF7487">
        <w:rPr>
          <w:sz w:val="24"/>
          <w:szCs w:val="24"/>
          <w:highlight w:val="yellow"/>
          <w:lang w:val="sl-SI"/>
        </w:rPr>
        <w:t>porazum za Erasmus+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tudentska listina Erasmus</w:t>
      </w:r>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2F1CDD3"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ničelne dotacije</w:t>
      </w:r>
      <w:r w:rsidR="00B964CE">
        <w:rPr>
          <w:highlight w:val="yellow"/>
          <w:lang w:val="sl-SI"/>
        </w:rPr>
        <w:t xml:space="preserve"> (zero grant)</w:t>
      </w:r>
      <w:r w:rsidRPr="00DF7487">
        <w:rPr>
          <w:highlight w:val="yellow"/>
          <w:lang w:val="sl-SI"/>
        </w:rPr>
        <w:t>: število mesecev in dodatnih dni ustreza obdobju, ki ga krije finančna podpora iz evropskih sredstev Erasmus+,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ničelno dotacijo</w:t>
      </w:r>
      <w:r w:rsidR="00B8776B">
        <w:rPr>
          <w:highlight w:val="yellow"/>
          <w:lang w:val="sl-SI"/>
        </w:rPr>
        <w:t xml:space="preserve"> (zero grant)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 xml:space="preserve">Skupno trajanje obdobja mobilnosti ne sme presegati 12 mesecev, vključno s kakršnim koli obdobjem ničelne dotacije.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28395C31"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Znesek dotacije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Pr="00DF7487">
        <w:rPr>
          <w:rStyle w:val="tw4winMark"/>
          <w:lang w:val="sl-SI"/>
        </w:rPr>
        <w:t>&lt;0}</w:t>
      </w:r>
    </w:p>
    <w:p w14:paraId="17C105FB"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Ne glede na člen 3.4 je dotacija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004A2C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dotacije, ki je že bil izplačan, razen če se dogovori drugače s pošiljajočo institucijo. Kljub temu pa je udeleženec, kadar mu zaključek aktivnosti mobilnosti, kot so opisane v Prilogi I, prepreči višja sila, še vedno upravičen do zneska dotacije,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bookmarkStart w:id="0" w:name="_GoBack"/>
      <w:bookmarkEnd w:id="0"/>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lastRenderedPageBreak/>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747CCCD2"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AB36A6">
        <w:rPr>
          <w:highlight w:val="cyan"/>
          <w:lang w:val="sl-SI"/>
        </w:rPr>
        <w:t xml:space="preserve">češčina, danščina, grščina, </w:t>
      </w:r>
      <w:r w:rsidRPr="00DF7487">
        <w:rPr>
          <w:highlight w:val="cyan"/>
          <w:lang w:val="sl-SI"/>
        </w:rPr>
        <w:t>angleščina, francoščina, nemščina, italijanščina, španščina</w:t>
      </w:r>
      <w:r w:rsidR="00AB36A6">
        <w:rPr>
          <w:highlight w:val="cyan"/>
          <w:lang w:val="sl-SI"/>
        </w:rPr>
        <w:t>,</w:t>
      </w:r>
      <w:r w:rsidRPr="00DF7487">
        <w:rPr>
          <w:highlight w:val="cyan"/>
          <w:lang w:val="sl-SI"/>
        </w:rPr>
        <w:t xml:space="preserve"> nizozemščina</w:t>
      </w:r>
      <w:r w:rsidR="00AB36A6">
        <w:rPr>
          <w:highlight w:val="cyan"/>
          <w:lang w:val="sl-SI"/>
        </w:rPr>
        <w:t>, poljščina, portugalščina ali švedščina</w:t>
      </w:r>
      <w:r w:rsidRPr="00DF7487">
        <w:rPr>
          <w:highlight w:val="cyan"/>
          <w:lang w:val="sl-SI"/>
        </w:rPr>
        <w:t xml:space="preserve"> (oziroma 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77777777"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7C3D5D9D"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lastRenderedPageBreak/>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34B5486A"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08" w:footer="708" w:gutter="0"/>
          <w:cols w:space="708"/>
          <w:titlePg/>
        </w:sectPr>
      </w:pPr>
    </w:p>
    <w:p w14:paraId="651AFB3B" w14:textId="77777777"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14:paraId="5724FE78" w14:textId="77777777" w:rsidR="00331197" w:rsidRPr="00DF7487" w:rsidRDefault="00331197" w:rsidP="0039356D">
      <w:pPr>
        <w:tabs>
          <w:tab w:val="left" w:pos="360"/>
        </w:tabs>
        <w:jc w:val="center"/>
        <w:rPr>
          <w:rFonts w:ascii="Arial" w:hAnsi="Arial"/>
          <w:b/>
          <w:lang w:val="sl-SI"/>
        </w:rPr>
      </w:pPr>
    </w:p>
    <w:p w14:paraId="41431AFC" w14:textId="77777777" w:rsidR="00331197" w:rsidRPr="00DF7487" w:rsidRDefault="00331197" w:rsidP="0039356D">
      <w:pPr>
        <w:tabs>
          <w:tab w:val="left" w:pos="360"/>
        </w:tabs>
        <w:jc w:val="center"/>
        <w:rPr>
          <w:rFonts w:ascii="Arial" w:hAnsi="Arial"/>
          <w:b/>
          <w:lang w:val="sl-SI"/>
        </w:rPr>
      </w:pPr>
    </w:p>
    <w:p w14:paraId="466F03C6" w14:textId="77777777"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14:paraId="2BF08EAF" w14:textId="77777777" w:rsidR="00331197" w:rsidRPr="00DF7487" w:rsidRDefault="00331197" w:rsidP="0039356D">
      <w:pPr>
        <w:tabs>
          <w:tab w:val="left" w:pos="360"/>
        </w:tabs>
        <w:rPr>
          <w:rFonts w:ascii="Arial" w:hAnsi="Arial"/>
          <w:lang w:val="sl-SI"/>
        </w:rPr>
      </w:pPr>
    </w:p>
    <w:p w14:paraId="469E9B8D" w14:textId="77777777" w:rsidR="00331197" w:rsidRPr="00DF7487" w:rsidRDefault="00331197" w:rsidP="0039356D">
      <w:pPr>
        <w:tabs>
          <w:tab w:val="left" w:pos="360"/>
        </w:tabs>
        <w:rPr>
          <w:rFonts w:ascii="Arial" w:hAnsi="Arial"/>
          <w:lang w:val="sl-SI"/>
        </w:rPr>
      </w:pPr>
    </w:p>
    <w:p w14:paraId="4DC2511B" w14:textId="77777777"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14:paraId="32AE4D54" w14:textId="77777777" w:rsidR="00331197" w:rsidRPr="00DF7487" w:rsidRDefault="00331197" w:rsidP="0039356D">
      <w:pPr>
        <w:keepNext/>
        <w:rPr>
          <w:sz w:val="18"/>
          <w:lang w:val="sl-SI"/>
        </w:rPr>
      </w:pPr>
    </w:p>
    <w:p w14:paraId="63D96528"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14:paraId="260AA0F9" w14:textId="77777777" w:rsidR="00331197" w:rsidRPr="00DF7487" w:rsidRDefault="00331197" w:rsidP="0039356D">
      <w:pPr>
        <w:jc w:val="both"/>
        <w:rPr>
          <w:sz w:val="18"/>
          <w:szCs w:val="18"/>
          <w:lang w:val="sl-SI"/>
        </w:rPr>
      </w:pPr>
    </w:p>
    <w:p w14:paraId="00CE4A7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14:paraId="577CBAFC" w14:textId="77777777" w:rsidR="00331197" w:rsidRPr="00DF7487" w:rsidRDefault="00331197" w:rsidP="0039356D">
      <w:pPr>
        <w:rPr>
          <w:sz w:val="18"/>
          <w:szCs w:val="18"/>
          <w:lang w:val="sl-SI"/>
        </w:rPr>
      </w:pPr>
    </w:p>
    <w:p w14:paraId="671E47A4"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14:paraId="0FAF58CA" w14:textId="77777777" w:rsidR="00331197" w:rsidRPr="00DF7487" w:rsidRDefault="00331197" w:rsidP="0039356D">
      <w:pPr>
        <w:jc w:val="both"/>
        <w:rPr>
          <w:sz w:val="18"/>
          <w:szCs w:val="18"/>
          <w:lang w:val="sl-SI"/>
        </w:rPr>
      </w:pPr>
    </w:p>
    <w:p w14:paraId="54EDFAAC"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Če udeleženec odpove sporazum preden se sporazum izteče, oziroma če ne izpolnjuje sporazuma v skladu s pravili, mora vrniti znesek dotacije, ki je že bil izplačan, razen če se drugače dogovori s pošiljajočo organizacijo.</w:t>
      </w:r>
      <w:r w:rsidRPr="00DF7487">
        <w:rPr>
          <w:rStyle w:val="tw4winMark"/>
          <w:szCs w:val="18"/>
          <w:lang w:val="sl-SI"/>
        </w:rPr>
        <w:t>&lt;0}</w:t>
      </w:r>
    </w:p>
    <w:p w14:paraId="48B688A7" w14:textId="77777777" w:rsidR="00331197" w:rsidRPr="00DF7487" w:rsidRDefault="00331197" w:rsidP="0039356D">
      <w:pPr>
        <w:rPr>
          <w:sz w:val="18"/>
          <w:szCs w:val="18"/>
          <w:lang w:val="sl-SI"/>
        </w:rPr>
      </w:pPr>
    </w:p>
    <w:p w14:paraId="1DA5454A"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nadzora udeleženca, ki ga ni moč pripisati napaki ali </w:t>
      </w:r>
      <w:r w:rsidRPr="00DF7487">
        <w:rPr>
          <w:sz w:val="18"/>
          <w:szCs w:val="18"/>
          <w:lang w:val="sl-SI"/>
        </w:rPr>
        <w:t>malomarnosti na strani udeležence, je udeleženec upravičen do prejema zneska dotacije,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14:paraId="5861BD6B" w14:textId="77777777" w:rsidR="00331197" w:rsidRPr="00DF7487" w:rsidRDefault="00331197" w:rsidP="0039356D">
      <w:pPr>
        <w:rPr>
          <w:b/>
          <w:sz w:val="18"/>
          <w:szCs w:val="18"/>
          <w:lang w:val="sl-SI"/>
        </w:rPr>
      </w:pPr>
    </w:p>
    <w:p w14:paraId="38ACA1F7"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14:paraId="51CE5061" w14:textId="77777777" w:rsidR="00331197" w:rsidRPr="00DF7487" w:rsidRDefault="00331197" w:rsidP="0039356D">
      <w:pPr>
        <w:rPr>
          <w:sz w:val="18"/>
          <w:szCs w:val="18"/>
          <w:lang w:val="sl-SI"/>
        </w:rPr>
      </w:pPr>
    </w:p>
    <w:p w14:paraId="72EE764C"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14:paraId="3D17E4C9" w14:textId="77777777" w:rsidR="00331197" w:rsidRPr="00DF7487" w:rsidRDefault="00331197" w:rsidP="0039356D">
      <w:pPr>
        <w:rPr>
          <w:sz w:val="18"/>
          <w:szCs w:val="18"/>
          <w:lang w:val="sl-SI"/>
        </w:rPr>
      </w:pPr>
    </w:p>
    <w:p w14:paraId="58B0BBB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pooblastita za preverjanje ustreznega izvajanja obdobja mobilnosti in določb tega sporazuma.</w:t>
      </w:r>
      <w:r w:rsidRPr="00DF7487">
        <w:rPr>
          <w:rStyle w:val="tw4winMark"/>
          <w:szCs w:val="18"/>
          <w:lang w:val="sl-SI"/>
        </w:rPr>
        <w:t>&lt;0}</w:t>
      </w:r>
    </w:p>
    <w:p w14:paraId="0F1DA336" w14:textId="77777777" w:rsidR="00331197" w:rsidRPr="00DF7487" w:rsidRDefault="00331197" w:rsidP="0039356D">
      <w:pPr>
        <w:jc w:val="both"/>
        <w:rPr>
          <w:sz w:val="18"/>
          <w:szCs w:val="18"/>
          <w:lang w:val="sl-SI"/>
        </w:rPr>
        <w:sectPr w:rsidR="00331197" w:rsidRPr="00DF7487" w:rsidSect="0039356D">
          <w:headerReference w:type="default" r:id="rId13"/>
          <w:footerReference w:type="default" r:id="rId14"/>
          <w:pgSz w:w="11906" w:h="16838"/>
          <w:pgMar w:top="1440" w:right="1134" w:bottom="1440" w:left="1134" w:header="708" w:footer="708" w:gutter="0"/>
          <w:cols w:num="2" w:space="708" w:equalWidth="0">
            <w:col w:w="4465" w:space="708"/>
            <w:col w:w="4465"/>
          </w:cols>
        </w:sectPr>
      </w:pPr>
    </w:p>
    <w:p w14:paraId="7F0B18A5" w14:textId="77777777" w:rsidR="00331197" w:rsidRPr="00DF7487"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4425" w14:textId="77777777" w:rsidR="00331197" w:rsidRDefault="00331197">
      <w:r>
        <w:separator/>
      </w:r>
    </w:p>
  </w:endnote>
  <w:endnote w:type="continuationSeparator" w:id="0">
    <w:p w14:paraId="182D94C9" w14:textId="77777777"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94AB" w14:textId="77777777"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B7D5556" w14:textId="77777777" w:rsidR="00331197" w:rsidRDefault="0033119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DF0F" w14:textId="77777777"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83556">
      <w:rPr>
        <w:rStyle w:val="PageNumber"/>
        <w:noProof/>
        <w:szCs w:val="24"/>
      </w:rPr>
      <w:t>5</w:t>
    </w:r>
    <w:r>
      <w:rPr>
        <w:rStyle w:val="PageNumber"/>
        <w:szCs w:val="24"/>
      </w:rPr>
      <w:fldChar w:fldCharType="end"/>
    </w:r>
  </w:p>
  <w:p w14:paraId="36D12069" w14:textId="77777777" w:rsidR="00331197" w:rsidRDefault="0033119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7269" w14:textId="77777777"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84C6" w14:textId="77777777"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83556">
      <w:rPr>
        <w:rStyle w:val="PageNumber"/>
        <w:noProof/>
      </w:rPr>
      <w:t>6</w:t>
    </w:r>
    <w:r>
      <w:rPr>
        <w:rStyle w:val="PageNumber"/>
      </w:rPr>
      <w:fldChar w:fldCharType="end"/>
    </w:r>
  </w:p>
  <w:p w14:paraId="308D89CE" w14:textId="77777777" w:rsidR="00331197" w:rsidRDefault="0033119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4DC9" w14:textId="77777777" w:rsidR="00331197" w:rsidRDefault="00331197">
      <w:r>
        <w:separator/>
      </w:r>
    </w:p>
  </w:footnote>
  <w:footnote w:type="continuationSeparator" w:id="0">
    <w:p w14:paraId="49B943CE" w14:textId="77777777" w:rsidR="00331197" w:rsidRDefault="0033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E1A3" w14:textId="77777777" w:rsidR="00331197" w:rsidRDefault="0033119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24F7" w14:textId="77777777" w:rsidR="00331197" w:rsidRPr="00BB0723" w:rsidRDefault="00331197" w:rsidP="001642A0">
    <w:pPr>
      <w:pStyle w:val="Header"/>
      <w:jc w:val="right"/>
      <w:rPr>
        <w:lang w:val="en-GB"/>
      </w:rPr>
    </w:pPr>
    <w:r w:rsidRPr="00FC67BC">
      <w:rPr>
        <w:rStyle w:val="tw4winMark"/>
        <w:szCs w:val="18"/>
        <w:lang w:val="sl-SI"/>
      </w:rPr>
      <w:t>{0&gt;</w:t>
    </w:r>
    <w:r w:rsidRPr="00FC67BC">
      <w:rPr>
        <w:rFonts w:ascii="Arial Narrow" w:hAnsi="Arial Narrow" w:cs="Arial Narrow"/>
        <w:vanish/>
        <w:sz w:val="18"/>
        <w:szCs w:val="18"/>
        <w:u w:val="single"/>
        <w:lang w:val="sl-SI"/>
      </w:rPr>
      <w:t>II.8 – Higher education Programme Countries - Grant agreement KA103 – Studies and traineeships –2015</w:t>
    </w:r>
    <w:r w:rsidRPr="00FC67BC">
      <w:rPr>
        <w:rStyle w:val="tw4winMark"/>
        <w:szCs w:val="18"/>
        <w:lang w:val="sl-SI"/>
      </w:rPr>
      <w:t>&lt;}0{&gt;</w:t>
    </w:r>
    <w:r w:rsidRPr="00FC67BC">
      <w:rPr>
        <w:rFonts w:ascii="Arial Narrow" w:hAnsi="Arial Narrow" w:cs="Arial Narrow"/>
        <w:sz w:val="18"/>
        <w:szCs w:val="18"/>
        <w:u w:val="single"/>
        <w:lang w:val="sl-SI"/>
      </w:rPr>
      <w:t xml:space="preserve">Države programa visokošolskega izobraževanja - Sporazum o dotaciji KA103 - Študij in praksa </w:t>
    </w:r>
    <w:r w:rsidR="001642A0">
      <w:rPr>
        <w:rFonts w:ascii="Arial Narrow" w:hAnsi="Arial Narrow" w:cs="Arial Narrow"/>
        <w:sz w:val="18"/>
        <w:szCs w:val="18"/>
        <w:u w:val="single"/>
        <w:lang w:val="sl-SI"/>
      </w:rPr>
      <w:t>–</w:t>
    </w:r>
    <w:r w:rsidRPr="00FC67BC">
      <w:rPr>
        <w:rFonts w:ascii="Arial Narrow" w:hAnsi="Arial Narrow" w:cs="Arial Narrow"/>
        <w:sz w:val="18"/>
        <w:szCs w:val="18"/>
        <w:u w:val="single"/>
        <w:lang w:val="sl-SI"/>
      </w:rPr>
      <w:t xml:space="preserve"> 201</w:t>
    </w:r>
    <w:r w:rsidR="00344DA2">
      <w:rPr>
        <w:rFonts w:ascii="Arial Narrow" w:hAnsi="Arial Narrow" w:cs="Arial Narrow"/>
        <w:sz w:val="18"/>
        <w:szCs w:val="18"/>
        <w:u w:val="single"/>
        <w:lang w:val="sl-SI"/>
      </w:rPr>
      <w:t>6</w:t>
    </w:r>
    <w:r w:rsidR="001642A0" w:rsidRPr="001642A0">
      <w:rPr>
        <w:rFonts w:ascii="Arial Narrow" w:hAnsi="Arial Narrow" w:cs="Arial Narrow"/>
        <w:sz w:val="18"/>
        <w:szCs w:val="18"/>
        <w:lang w:val="sl-SI"/>
      </w:rPr>
      <w:t xml:space="preserve">         </w:t>
    </w:r>
    <w:r w:rsidR="001642A0">
      <w:rPr>
        <w:noProof/>
        <w:lang w:val="sl-SI" w:eastAsia="sl-SI"/>
      </w:rPr>
      <w:drawing>
        <wp:inline distT="0" distB="0" distL="0" distR="0" wp14:anchorId="2B3C8FD7" wp14:editId="4D67047F">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FC67BC">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1B24" w14:textId="77777777" w:rsidR="00331197" w:rsidRPr="00FE149C" w:rsidRDefault="00331197" w:rsidP="0039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7487"/>
    <w:rsid w:val="000454FB"/>
    <w:rsid w:val="0007742B"/>
    <w:rsid w:val="00086AAD"/>
    <w:rsid w:val="000A577F"/>
    <w:rsid w:val="000E5CC1"/>
    <w:rsid w:val="001279C9"/>
    <w:rsid w:val="001642A0"/>
    <w:rsid w:val="001923DA"/>
    <w:rsid w:val="001A2A3E"/>
    <w:rsid w:val="001A79F0"/>
    <w:rsid w:val="001C6436"/>
    <w:rsid w:val="001E4929"/>
    <w:rsid w:val="002134C0"/>
    <w:rsid w:val="0026487B"/>
    <w:rsid w:val="00273C4D"/>
    <w:rsid w:val="00280292"/>
    <w:rsid w:val="002938E1"/>
    <w:rsid w:val="0029537E"/>
    <w:rsid w:val="002B4102"/>
    <w:rsid w:val="002D08C1"/>
    <w:rsid w:val="002D520F"/>
    <w:rsid w:val="002E14F0"/>
    <w:rsid w:val="002F1C0A"/>
    <w:rsid w:val="00331197"/>
    <w:rsid w:val="00343965"/>
    <w:rsid w:val="00344DA2"/>
    <w:rsid w:val="0039356D"/>
    <w:rsid w:val="003A1783"/>
    <w:rsid w:val="003C0BCB"/>
    <w:rsid w:val="003C4694"/>
    <w:rsid w:val="003C7082"/>
    <w:rsid w:val="003F6445"/>
    <w:rsid w:val="0040172C"/>
    <w:rsid w:val="004C3199"/>
    <w:rsid w:val="004E4A19"/>
    <w:rsid w:val="004F3898"/>
    <w:rsid w:val="005077B7"/>
    <w:rsid w:val="0052173A"/>
    <w:rsid w:val="005255CA"/>
    <w:rsid w:val="0054646D"/>
    <w:rsid w:val="005724A2"/>
    <w:rsid w:val="00584719"/>
    <w:rsid w:val="00590964"/>
    <w:rsid w:val="005D3C1E"/>
    <w:rsid w:val="005D5C9E"/>
    <w:rsid w:val="00626BA1"/>
    <w:rsid w:val="006519CF"/>
    <w:rsid w:val="006757EE"/>
    <w:rsid w:val="00697E6E"/>
    <w:rsid w:val="006A24D4"/>
    <w:rsid w:val="006B07E8"/>
    <w:rsid w:val="006C2FEE"/>
    <w:rsid w:val="006E16C3"/>
    <w:rsid w:val="006E2664"/>
    <w:rsid w:val="006F0051"/>
    <w:rsid w:val="007146F5"/>
    <w:rsid w:val="007240C1"/>
    <w:rsid w:val="007336DD"/>
    <w:rsid w:val="00735E06"/>
    <w:rsid w:val="007570A8"/>
    <w:rsid w:val="007D5ABF"/>
    <w:rsid w:val="007D66E4"/>
    <w:rsid w:val="007F76F4"/>
    <w:rsid w:val="008045ED"/>
    <w:rsid w:val="008048F1"/>
    <w:rsid w:val="00883248"/>
    <w:rsid w:val="00886BE0"/>
    <w:rsid w:val="0089333C"/>
    <w:rsid w:val="008B0EF5"/>
    <w:rsid w:val="008B15E1"/>
    <w:rsid w:val="008C102F"/>
    <w:rsid w:val="00911D87"/>
    <w:rsid w:val="00952317"/>
    <w:rsid w:val="009A6788"/>
    <w:rsid w:val="009B74A1"/>
    <w:rsid w:val="009E36F2"/>
    <w:rsid w:val="009F68D4"/>
    <w:rsid w:val="00A4351C"/>
    <w:rsid w:val="00A555F3"/>
    <w:rsid w:val="00A70824"/>
    <w:rsid w:val="00AB36A6"/>
    <w:rsid w:val="00AB3CF0"/>
    <w:rsid w:val="00AD4A52"/>
    <w:rsid w:val="00B01359"/>
    <w:rsid w:val="00B2431C"/>
    <w:rsid w:val="00B277C8"/>
    <w:rsid w:val="00B34200"/>
    <w:rsid w:val="00B8776B"/>
    <w:rsid w:val="00B964CE"/>
    <w:rsid w:val="00BB0723"/>
    <w:rsid w:val="00C0038E"/>
    <w:rsid w:val="00C4131B"/>
    <w:rsid w:val="00C641D2"/>
    <w:rsid w:val="00C7166F"/>
    <w:rsid w:val="00C83556"/>
    <w:rsid w:val="00C9059C"/>
    <w:rsid w:val="00CA55AC"/>
    <w:rsid w:val="00CE579A"/>
    <w:rsid w:val="00D315C1"/>
    <w:rsid w:val="00D454F9"/>
    <w:rsid w:val="00D51010"/>
    <w:rsid w:val="00D839AE"/>
    <w:rsid w:val="00D8488B"/>
    <w:rsid w:val="00DE4D41"/>
    <w:rsid w:val="00DE7444"/>
    <w:rsid w:val="00DF7487"/>
    <w:rsid w:val="00E102C7"/>
    <w:rsid w:val="00E12DFF"/>
    <w:rsid w:val="00E371FB"/>
    <w:rsid w:val="00E90FDD"/>
    <w:rsid w:val="00E946F6"/>
    <w:rsid w:val="00EA5CE8"/>
    <w:rsid w:val="00EC55F1"/>
    <w:rsid w:val="00F23377"/>
    <w:rsid w:val="00F76752"/>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E5BC2A"/>
  <w15:docId w15:val="{8716BD94-E795-4939-AE04-B4F37DB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rsid w:val="005077B7"/>
    <w:rPr>
      <w:lang w:eastAsia="sl-SI"/>
    </w:rPr>
  </w:style>
  <w:style w:type="character" w:customStyle="1" w:styleId="EndnoteTextChar">
    <w:name w:val="Endnote Text Char"/>
    <w:basedOn w:val="DefaultParagraphFont"/>
    <w:link w:val="EndnoteText"/>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AB75-20FA-480D-A906-05B96F90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5325</Words>
  <Characters>30358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53</cp:revision>
  <cp:lastPrinted>2016-05-05T12:14:00Z</cp:lastPrinted>
  <dcterms:created xsi:type="dcterms:W3CDTF">2016-05-05T13:23:00Z</dcterms:created>
  <dcterms:modified xsi:type="dcterms:W3CDTF">2016-05-25T09:17:00Z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